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 mc:Ignorable="w14 wp14">
  <w:body>
    <w:p>
      <w:pPr>
        <w:ind w:left="0"/>
        <w:rPr>
          <w:rFonts w:ascii="Arial" w:hAnsi="Arial"/>
          <w:sz w:val="22"/>
          <w:szCs w:val="22"/>
          <w:lang w:val="zh_CN"/>
        </w:rPr>
      </w:pPr>
      <w:r>
        <w:rPr>
          <w:rtl w:val="0"/>
        </w:rPr>
        <w:t xml:space="preserve">1.A classified balance sheet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is asset, liabilities and stockholders’ equity were break down into sub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categories. </w:t>
      </w:r>
      <w:r>
        <w:rPr>
          <w:rtl w:val="0"/>
        </w:rPr>
        <w:t>There are two section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s</w:t>
      </w:r>
      <w:r>
        <w:rPr>
          <w:rtl w:val="0"/>
        </w:rPr>
        <w:t xml:space="preserve">, one is Assets, another one is Liabilities and Stockholders’ equity. </w:t>
      </w:r>
    </w:p>
    <w:p>
      <w:pPr>
        <w:ind w:left="0"/>
        <w:rPr>
          <w:rFonts w:ascii="Arial" w:hAnsi="Arial"/>
          <w:sz w:val="22"/>
          <w:szCs w:val="22"/>
          <w:lang w:val="zh_CN"/>
        </w:rPr>
      </w:pPr>
      <w:r>
        <w:rPr>
          <w:rtl w:val="0"/>
        </w:rPr>
        <w:t>Two accounts that fit into Assets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: </w:t>
      </w:r>
      <w:r>
        <w:rPr>
          <w:rtl w:val="0"/>
        </w:rPr>
        <w:t xml:space="preserve">current assets and long-term investments. </w:t>
      </w:r>
    </w:p>
    <w:p>
      <w:pPr>
        <w:ind w:left="0"/>
        <w:rPr>
          <w:rFonts w:ascii="Arial" w:hAnsi="Arial"/>
          <w:sz w:val="22"/>
          <w:szCs w:val="22"/>
          <w:lang w:val="zh_CN"/>
        </w:rPr>
      </w:pPr>
      <w:r>
        <w:rPr>
          <w:rtl w:val="0"/>
        </w:rPr>
        <w:t>Two accounts that fit into Liabilities and Stockholders’ equity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:</w:t>
      </w:r>
      <w:r>
        <w:rPr>
          <w:rtl w:val="0"/>
        </w:rPr>
        <w:t xml:space="preserve"> current liabilities and long-term liabilities. </w:t>
      </w:r>
    </w:p>
    <w:p>
      <w:pPr>
        <w:ind w:left="0"/>
        <w:rPr>
          <w:rFonts w:ascii="Arial" w:hAnsi="Arial"/>
          <w:sz w:val="22"/>
          <w:szCs w:val="22"/>
          <w:lang w:val="zh_CN"/>
        </w:rPr>
      </w:pPr>
    </w:p>
    <w:p>
      <w:pPr>
        <w:ind w:left="0"/>
        <w:rPr>
          <w:rFonts w:ascii="Arial" w:hAnsi="Arial"/>
          <w:sz w:val="22"/>
          <w:szCs w:val="22"/>
          <w:lang w:val="zh_CN"/>
        </w:rPr>
      </w:pPr>
      <w:r>
        <w:rPr>
          <w:rtl w:val="0"/>
        </w:rPr>
        <w:t>2.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P</w:t>
      </w:r>
      <w:r>
        <w:rPr>
          <w:rtl w:val="0"/>
        </w:rPr>
        <w:t xml:space="preserve">rofitability ratios measure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how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 a company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generates income </w:t>
      </w:r>
      <w:r>
        <w:rPr>
          <w:rtl w:val="0"/>
        </w:rPr>
        <w:t xml:space="preserve">for a given period of time. </w:t>
      </w:r>
      <w:r>
        <w:rPr>
          <w:rFonts w:ascii="Arial" w:hAnsi="Arial"/>
          <w:b w:val="0"/>
          <w:i w:val="0"/>
          <w:strike w:val="0"/>
          <w:vanish w:val="0"/>
          <w:color w:val="000000"/>
          <w:sz w:val="22"/>
          <w:szCs w:val="22"/>
          <w:highlight w:val="none"/>
          <w:u w:val="none"/>
          <w:lang w:val="zh_CN"/>
        </w:rPr>
        <w:t>Earnings per share measure the net income earned on each share of common stock.</w:t>
      </w:r>
    </w:p>
    <w:p>
      <w:pPr>
        <w:ind w:left="0"/>
        <w:rPr>
          <w:rFonts w:ascii="Arial" w:hAnsi="Arial"/>
          <w:sz w:val="22"/>
          <w:szCs w:val="22"/>
          <w:lang w:val="zh_CN"/>
        </w:rPr>
      </w:pPr>
      <w:r>
        <w:rPr>
          <w:rtl w:val="0"/>
        </w:rPr>
        <w:t>EPS=(Net Income—Preferred Dividends)/Weighted-average commo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n</w:t>
      </w:r>
      <w:r>
        <w:rPr>
          <w:rtl w:val="0"/>
        </w:rPr>
        <w:t xml:space="preserve"> shares outstanding </w:t>
      </w:r>
    </w:p>
    <w:p>
      <w:pPr>
        <w:ind w:left="0"/>
        <w:rPr>
          <w:rFonts w:ascii="Arial" w:hAnsi="Arial"/>
          <w:sz w:val="22"/>
          <w:szCs w:val="22"/>
          <w:lang w:val="zh_CN"/>
        </w:rPr>
      </w:pPr>
      <w:r>
        <w:rPr>
          <w:rtl w:val="0"/>
        </w:rPr>
        <w:t xml:space="preserve">For example: A company’s net income is 15 million, divided by 3.6 million shares of stock the business has issued and compute its 3.17 earning per share.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The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higher the EPS, the better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profitability.</w:t>
      </w:r>
    </w:p>
    <w:p>
      <w:pPr>
        <w:ind w:left="0"/>
        <w:rPr>
          <w:rFonts w:ascii="Arial" w:hAnsi="Arial"/>
          <w:sz w:val="22"/>
          <w:szCs w:val="22"/>
          <w:lang w:val="zh_CN"/>
        </w:rPr>
      </w:pPr>
    </w:p>
    <w:p>
      <w:pPr>
        <w:ind w:left="0"/>
        <w:rPr>
          <w:rFonts w:ascii="Arial" w:hAnsi="Arial"/>
          <w:sz w:val="22"/>
          <w:szCs w:val="22"/>
          <w:rtl w:val="0"/>
          <w:lang w:val="zh_CN"/>
        </w:rPr>
      </w:pPr>
      <w:r>
        <w:rPr>
          <w:rtl w:val="0"/>
        </w:rPr>
        <w:t>3.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Liquidity is the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ability to covert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liquid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assets into cash easily, and could pay its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liabilities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due within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the next year. </w:t>
      </w:r>
    </w:p>
    <w:p>
      <w:pPr>
        <w:ind w:left="0"/>
        <w:rPr>
          <w:rFonts w:ascii="Arial" w:hAnsi="Arial"/>
          <w:sz w:val="22"/>
          <w:szCs w:val="22"/>
          <w:lang w:val="zh_CN"/>
        </w:rPr>
      </w:pPr>
      <w:r>
        <w:rPr>
          <w:rtl w:val="0"/>
        </w:rPr>
        <w:t>Liquidity ratios measure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 the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ability of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a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company to pay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its obligations in </w:t>
      </w:r>
      <w:r>
        <w:rPr>
          <w:rtl w:val="0"/>
        </w:rPr>
        <w:t>short-term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.</w:t>
      </w:r>
    </w:p>
    <w:p>
      <w:pPr>
        <w:numPr>
          <w:ilvl w:val="0"/>
          <w:numId w:val="1"/>
        </w:numPr>
        <w:ind w:hanging="360" w:left="720"/>
        <w:rPr>
          <w:rFonts w:ascii="Arial" w:hAnsi="Arial"/>
          <w:sz w:val="22"/>
          <w:szCs w:val="22"/>
          <w:u w:val="none"/>
          <w:lang w:val="zh_CN"/>
        </w:rPr>
      </w:pPr>
      <w:r>
        <w:rPr>
          <w:rtl w:val="0"/>
        </w:rPr>
        <w:t>Liquidity ratios interpreted as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:</w:t>
      </w:r>
      <w:r>
        <w:rPr>
          <w:rtl w:val="0"/>
        </w:rPr>
        <w:t xml:space="preserve"> Current Assets divided by Current Liabilities </w:t>
      </w:r>
    </w:p>
    <w:p>
      <w:pPr>
        <w:ind w:left="0"/>
        <w:rPr>
          <w:rFonts w:ascii="Arial" w:hAnsi="Arial"/>
          <w:sz w:val="22"/>
          <w:szCs w:val="22"/>
          <w:lang w:val="zh_CN"/>
        </w:rPr>
      </w:pPr>
    </w:p>
    <w:p>
      <w:pPr>
        <w:ind w:left="0"/>
        <w:rPr>
          <w:rFonts w:ascii="Arial" w:hAnsi="Arial"/>
          <w:sz w:val="22"/>
          <w:szCs w:val="22"/>
          <w:rtl w:val="0"/>
          <w:lang w:val="zh_CN"/>
        </w:rPr>
      </w:pP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Solvency is the ability to pay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interest and repay the balance of a debt when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it’s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due.</w:t>
      </w:r>
    </w:p>
    <w:p>
      <w:pPr>
        <w:ind w:left="0"/>
        <w:rPr>
          <w:rFonts w:ascii="Arial" w:hAnsi="Arial"/>
          <w:sz w:val="22"/>
          <w:szCs w:val="22"/>
          <w:lang w:val="zh_CN"/>
        </w:rPr>
      </w:pPr>
      <w:r>
        <w:rPr>
          <w:rtl w:val="0"/>
        </w:rPr>
        <w:t xml:space="preserve">Solvency ratios measure the </w:t>
      </w:r>
      <w:r>
        <w:rPr>
          <w:rFonts w:ascii="Arial" w:hAnsi="Arial"/>
          <w:b w:val="0"/>
          <w:i w:val="0"/>
          <w:strike w:val="0"/>
          <w:vanish w:val="0"/>
          <w:color w:val="000000"/>
          <w:sz w:val="22"/>
          <w:highlight w:val="none"/>
          <w:u w:val="none"/>
          <w:rtl w:val="0"/>
        </w:rPr>
        <w:t>ability to</w:t>
      </w:r>
      <w:r>
        <w:rPr>
          <w:rFonts w:ascii="Arial" w:hAnsi="Arial"/>
          <w:b w:val="0"/>
          <w:i w:val="0"/>
          <w:strike w:val="0"/>
          <w:vanish w:val="0"/>
          <w:color w:val="000000"/>
          <w:sz w:val="22"/>
          <w:highlight w:val="none"/>
          <w:u w:val="none"/>
          <w:rtl w:val="0"/>
        </w:rPr>
        <w:t xml:space="preserve"> cover </w:t>
      </w:r>
      <w:r>
        <w:rPr>
          <w:rFonts w:ascii="Arial" w:hAnsi="Arial"/>
          <w:b w:val="0"/>
          <w:i w:val="0"/>
          <w:strike w:val="0"/>
          <w:vanish w:val="0"/>
          <w:color w:val="000000"/>
          <w:sz w:val="22"/>
          <w:highlight w:val="none"/>
          <w:u w:val="none"/>
          <w:rtl w:val="0"/>
        </w:rPr>
        <w:t>its</w:t>
      </w:r>
      <w:r>
        <w:rPr>
          <w:rFonts w:ascii="Arial" w:hAnsi="Arial"/>
          <w:b w:val="0"/>
          <w:i w:val="0"/>
          <w:strike w:val="0"/>
          <w:vanish w:val="0"/>
          <w:color w:val="000000"/>
          <w:sz w:val="22"/>
          <w:szCs w:val="22"/>
          <w:highlight w:val="none"/>
          <w:u w:val="none"/>
          <w:rtl w:val="0"/>
          <w:lang w:val="en-US"/>
        </w:rPr>
        <w:t xml:space="preserve"> </w:t>
      </w:r>
      <w:r>
        <w:rPr>
          <w:rFonts w:ascii="Arial" w:hAnsi="Arial"/>
          <w:b w:val="0"/>
          <w:i w:val="0"/>
          <w:strike w:val="0"/>
          <w:vanish w:val="0"/>
          <w:color w:val="000000"/>
          <w:sz w:val="22"/>
          <w:szCs w:val="22"/>
          <w:highlight w:val="none"/>
          <w:u w:val="none"/>
          <w:rtl w:val="0"/>
          <w:lang w:val="en-US"/>
        </w:rPr>
        <w:t xml:space="preserve">obligations in </w:t>
      </w:r>
      <w:r>
        <w:rPr>
          <w:rFonts w:ascii="Arial" w:hAnsi="Arial"/>
          <w:b w:val="0"/>
          <w:i w:val="0"/>
          <w:strike w:val="0"/>
          <w:vanish w:val="0"/>
          <w:color w:val="000000"/>
          <w:sz w:val="22"/>
          <w:highlight w:val="none"/>
          <w:u w:val="none"/>
          <w:rtl w:val="0"/>
        </w:rPr>
        <w:t>long-term</w:t>
      </w:r>
      <w:r>
        <w:rPr>
          <w:rFonts w:ascii="Arial" w:hAnsi="Arial"/>
          <w:b w:val="0"/>
          <w:i w:val="0"/>
          <w:strike w:val="0"/>
          <w:vanish w:val="0"/>
          <w:color w:val="000000"/>
          <w:sz w:val="22"/>
          <w:szCs w:val="22"/>
          <w:highlight w:val="none"/>
          <w:u w:val="none"/>
          <w:rtl w:val="0"/>
          <w:lang w:val="en-US"/>
        </w:rPr>
        <w:t>, and f</w:t>
      </w:r>
      <w:r>
        <w:rPr>
          <w:rtl w:val="0"/>
        </w:rPr>
        <w:t>inancial stability of a company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.</w:t>
      </w:r>
    </w:p>
    <w:p>
      <w:pPr>
        <w:numPr>
          <w:ilvl w:val="0"/>
          <w:numId w:val="2"/>
        </w:numPr>
        <w:ind w:hanging="360" w:left="720"/>
        <w:rPr>
          <w:rFonts w:ascii="Arial" w:hAnsi="Arial"/>
          <w:sz w:val="22"/>
          <w:szCs w:val="22"/>
          <w:u w:val="none"/>
          <w:lang w:val="zh_CN"/>
        </w:rPr>
      </w:pPr>
      <w:r>
        <w:rPr>
          <w:rtl w:val="0"/>
        </w:rPr>
        <w:t>Solvency ratios interpreted as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:</w:t>
      </w:r>
      <w:r>
        <w:rPr>
          <w:rtl w:val="0"/>
        </w:rPr>
        <w:t xml:space="preserve"> Total Liabilities(both current and long-term) divided by Total Assets. </w:t>
      </w:r>
    </w:p>
    <w:p>
      <w:pPr>
        <w:rPr>
          <w:rFonts w:ascii="Arial" w:hAnsi="Arial"/>
          <w:sz w:val="22"/>
          <w:szCs w:val="22"/>
          <w:lang w:val="zh_CN"/>
        </w:rPr>
      </w:pPr>
    </w:p>
    <w:p>
      <w:pPr>
        <w:rPr>
          <w:rFonts w:ascii="Arial" w:hAnsi="Arial"/>
          <w:sz w:val="22"/>
          <w:szCs w:val="22"/>
          <w:lang w:val="zh_CN"/>
        </w:rPr>
      </w:pPr>
      <w:r>
        <w:rPr>
          <w:rtl w:val="0"/>
        </w:rPr>
        <w:t>4.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The most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important factor to evaluate solvency using statement of cash flow is the cash flows from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operating 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 xml:space="preserve">activities. </w:t>
      </w:r>
      <w:r>
        <w:rPr>
          <w:rtl w:val="0"/>
        </w:rPr>
        <w:t xml:space="preserve">Free cash flow measure the amount of cash left over after a company pays for operations, expenditures, and dividends. </w:t>
      </w:r>
    </w:p>
    <w:p>
      <w:pPr>
        <w:rPr>
          <w:rFonts w:ascii="Arial" w:hAnsi="Arial"/>
          <w:sz w:val="22"/>
          <w:szCs w:val="22"/>
          <w:lang w:val="zh_CN"/>
        </w:rPr>
      </w:pPr>
      <w:r>
        <w:rPr>
          <w:rtl w:val="0"/>
        </w:rPr>
        <w:t xml:space="preserve">Free Cash Flow= Net Cash Provided by Operating Activities — Capital Expenditures — Cash Dividends </w:t>
      </w:r>
    </w:p>
    <w:p>
      <w:pPr>
        <w:rPr>
          <w:rFonts w:ascii="Arial" w:hAnsi="Arial"/>
          <w:sz w:val="22"/>
          <w:szCs w:val="22"/>
          <w:lang w:val="zh_CN"/>
        </w:rPr>
      </w:pPr>
    </w:p>
    <w:p>
      <w:pPr>
        <w:rPr>
          <w:rFonts w:ascii="Arial" w:hAnsi="Arial"/>
          <w:sz w:val="22"/>
          <w:szCs w:val="22"/>
          <w:rtl w:val="0"/>
          <w:lang w:val="zh_CN"/>
        </w:rPr>
      </w:pPr>
      <w:r>
        <w:rPr>
          <w:rtl w:val="0"/>
        </w:rPr>
        <w:t>5. Generally accepted accounting principles(GAAP) are a set of accounting standards or rules that have authoritative support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.</w:t>
      </w:r>
      <w:r>
        <w:rPr>
          <w:rtl w:val="0"/>
        </w:rPr>
        <w:t xml:space="preserve"> </w:t>
      </w:r>
    </w:p>
    <w:p>
      <w:pPr>
        <w:rPr>
          <w:rFonts w:ascii="Arial" w:hAnsi="Arial"/>
          <w:color w:val="000000"/>
          <w:sz w:val="22"/>
          <w:szCs w:val="22"/>
          <w:rtl w:val="0"/>
          <w:lang w:val="en-US"/>
        </w:rPr>
      </w:pPr>
      <w:r>
        <w:rPr>
          <w:rtl w:val="0"/>
        </w:rPr>
        <w:t>The U.S. standard-setting body is called Financial Accounting Standards Board(FASB</w:t>
      </w: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).</w:t>
      </w:r>
      <w:r>
        <w:rPr>
          <w:rtl w:val="0"/>
        </w:rPr>
        <w:t xml:space="preserve"> </w:t>
      </w:r>
    </w:p>
    <w:p>
      <w:pPr>
        <w:rPr>
          <w:rFonts w:ascii="Arial" w:hAnsi="Arial"/>
          <w:sz w:val="22"/>
          <w:szCs w:val="22"/>
          <w:lang w:val="zh_CN"/>
        </w:rPr>
      </w:pPr>
      <w:r>
        <w:rPr>
          <w:rFonts w:ascii="Arial" w:hAnsi="Arial"/>
          <w:vanish w:val="0"/>
          <w:color w:val="000000"/>
          <w:sz w:val="22"/>
          <w:szCs w:val="22"/>
          <w:rtl w:val="0"/>
          <w:lang w:val="en-US"/>
        </w:rPr>
        <w:t>T</w:t>
      </w:r>
      <w:r>
        <w:rPr>
          <w:rtl w:val="0"/>
        </w:rPr>
        <w:t>he International standard-setting body is called International Accounting Standards Board(IASB).</w:t>
      </w:r>
    </w:p>
    <w:p>
      <w:pPr>
        <w:rPr>
          <w:rFonts w:ascii="Arial" w:hAnsi="Arial"/>
          <w:sz w:val="22"/>
          <w:szCs w:val="22"/>
          <w:lang w:val="zh_CN"/>
        </w:rPr>
      </w:pPr>
    </w:p>
    <w:p>
      <w:pPr>
        <w:rPr>
          <w:rFonts w:ascii="Arial" w:hAnsi="Arial"/>
          <w:sz w:val="22"/>
          <w:szCs w:val="22"/>
          <w:lang w:val="zh_CN"/>
        </w:rPr>
      </w:pPr>
    </w:p>
    <w:sectPr>
      <w:pgSz w:h="16834" w:w="11909"/>
      <w:pgMar w:bottom="1440" w:footer="720" w:gutter="0" w:header="720" w:left="1440" w:right="1440" w:top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>
  <w:abstractNum w:abstractNumId="1">
    <w:multiLevelType w:val="multilevel"/>
    <w:tmpl w:val="00000000"/>
    <w:numStyleLink w:val=""/>
    <w:lvl w:ilvl="0">
      <w:start w:val="1"/>
      <w:numFmt w:val="bullet"/>
      <w:lvlText w:val="●"/>
      <w:lvlJc w:val="left"/>
      <w:pPr>
        <w:ind w:hanging="360" w:left="720"/>
      </w:pPr>
      <w:rPr>
        <w:u w:val="none"/>
      </w:rPr>
    </w:lvl>
    <w:lvl w:ilvl="1">
      <w:start w:val="1"/>
      <w:numFmt w:val="bullet"/>
      <w:lvlText w:val="○"/>
      <w:lvlJc w:val="left"/>
      <w:pPr>
        <w:ind w:hanging="360" w:left="1440"/>
      </w:pPr>
      <w:rPr>
        <w:u w:val="none"/>
      </w:rPr>
    </w:lvl>
    <w:lvl w:ilvl="2">
      <w:start w:val="1"/>
      <w:numFmt w:val="bullet"/>
      <w:lvlText w:val="■"/>
      <w:lvlJc w:val="left"/>
      <w:pPr>
        <w:ind w:hanging="360" w:left="2160"/>
      </w:pPr>
      <w:rPr>
        <w:u w:val="none"/>
      </w:rPr>
    </w:lvl>
    <w:lvl w:ilvl="3">
      <w:start w:val="1"/>
      <w:numFmt w:val="bullet"/>
      <w:lvlText w:val="●"/>
      <w:lvlJc w:val="left"/>
      <w:pPr>
        <w:ind w:hanging="360" w:left="2880"/>
      </w:pPr>
      <w:rPr>
        <w:u w:val="none"/>
      </w:rPr>
    </w:lvl>
    <w:lvl w:ilvl="4">
      <w:start w:val="1"/>
      <w:numFmt w:val="bullet"/>
      <w:lvlText w:val="○"/>
      <w:lvlJc w:val="left"/>
      <w:pPr>
        <w:ind w:hanging="360" w:left="3600"/>
      </w:pPr>
      <w:rPr>
        <w:u w:val="none"/>
      </w:rPr>
    </w:lvl>
    <w:lvl w:ilvl="5">
      <w:start w:val="1"/>
      <w:numFmt w:val="bullet"/>
      <w:lvlText w:val="■"/>
      <w:lvlJc w:val="left"/>
      <w:pPr>
        <w:ind w:hanging="360" w:left="4320"/>
      </w:pPr>
      <w:rPr>
        <w:u w:val="none"/>
      </w:rPr>
    </w:lvl>
    <w:lvl w:ilvl="6">
      <w:start w:val="1"/>
      <w:numFmt w:val="bullet"/>
      <w:lvlText w:val="●"/>
      <w:lvlJc w:val="left"/>
      <w:pPr>
        <w:ind w:hanging="360" w:left="5040"/>
      </w:pPr>
      <w:rPr>
        <w:u w:val="none"/>
      </w:rPr>
    </w:lvl>
    <w:lvl w:ilvl="7">
      <w:start w:val="1"/>
      <w:numFmt w:val="bullet"/>
      <w:lvlText w:val="○"/>
      <w:lvlJc w:val="left"/>
      <w:pPr>
        <w:ind w:hanging="360" w:left="5760"/>
      </w:pPr>
      <w:rPr>
        <w:u w:val="none"/>
      </w:rPr>
    </w:lvl>
    <w:lvl w:ilvl="8">
      <w:start w:val="1"/>
      <w:numFmt w:val="bullet"/>
      <w:lvlText w:val="■"/>
      <w:lvlJc w:val="left"/>
      <w:pPr>
        <w:ind w:hanging="360" w:left="6480"/>
      </w:pPr>
      <w:rPr>
        <w:u w:val="none"/>
      </w:rPr>
    </w:lvl>
  </w:abstractNum>
  <w:abstractNum w:abstractNumId="2">
    <w:multiLevelType w:val="multilevel"/>
    <w:tmpl w:val="00000000"/>
    <w:numStyleLink w:val=""/>
    <w:lvl w:ilvl="0">
      <w:start w:val="1"/>
      <w:numFmt w:val="bullet"/>
      <w:lvlText w:val="●"/>
      <w:lvlJc w:val="left"/>
      <w:pPr>
        <w:ind w:hanging="360" w:left="720"/>
      </w:pPr>
      <w:rPr>
        <w:u w:val="none"/>
      </w:rPr>
    </w:lvl>
    <w:lvl w:ilvl="1">
      <w:start w:val="1"/>
      <w:numFmt w:val="bullet"/>
      <w:lvlText w:val="○"/>
      <w:lvlJc w:val="left"/>
      <w:pPr>
        <w:ind w:hanging="360" w:left="1440"/>
      </w:pPr>
      <w:rPr>
        <w:u w:val="none"/>
      </w:rPr>
    </w:lvl>
    <w:lvl w:ilvl="2">
      <w:start w:val="1"/>
      <w:numFmt w:val="bullet"/>
      <w:lvlText w:val="■"/>
      <w:lvlJc w:val="left"/>
      <w:pPr>
        <w:ind w:hanging="360" w:left="2160"/>
      </w:pPr>
      <w:rPr>
        <w:u w:val="none"/>
      </w:rPr>
    </w:lvl>
    <w:lvl w:ilvl="3">
      <w:start w:val="1"/>
      <w:numFmt w:val="bullet"/>
      <w:lvlText w:val="●"/>
      <w:lvlJc w:val="left"/>
      <w:pPr>
        <w:ind w:hanging="360" w:left="2880"/>
      </w:pPr>
      <w:rPr>
        <w:u w:val="none"/>
      </w:rPr>
    </w:lvl>
    <w:lvl w:ilvl="4">
      <w:start w:val="1"/>
      <w:numFmt w:val="bullet"/>
      <w:lvlText w:val="○"/>
      <w:lvlJc w:val="left"/>
      <w:pPr>
        <w:ind w:hanging="360" w:left="3600"/>
      </w:pPr>
      <w:rPr>
        <w:u w:val="none"/>
      </w:rPr>
    </w:lvl>
    <w:lvl w:ilvl="5">
      <w:start w:val="1"/>
      <w:numFmt w:val="bullet"/>
      <w:lvlText w:val="■"/>
      <w:lvlJc w:val="left"/>
      <w:pPr>
        <w:ind w:hanging="360" w:left="4320"/>
      </w:pPr>
      <w:rPr>
        <w:u w:val="none"/>
      </w:rPr>
    </w:lvl>
    <w:lvl w:ilvl="6">
      <w:start w:val="1"/>
      <w:numFmt w:val="bullet"/>
      <w:lvlText w:val="●"/>
      <w:lvlJc w:val="left"/>
      <w:pPr>
        <w:ind w:hanging="360" w:left="5040"/>
      </w:pPr>
      <w:rPr>
        <w:u w:val="none"/>
      </w:rPr>
    </w:lvl>
    <w:lvl w:ilvl="7">
      <w:start w:val="1"/>
      <w:numFmt w:val="bullet"/>
      <w:lvlText w:val="○"/>
      <w:lvlJc w:val="left"/>
      <w:pPr>
        <w:ind w:hanging="360" w:left="5760"/>
      </w:pPr>
      <w:rPr>
        <w:u w:val="none"/>
      </w:rPr>
    </w:lvl>
    <w:lvl w:ilvl="8">
      <w:start w:val="1"/>
      <w:numFmt w:val="bullet"/>
      <w:lvlText w:val="■"/>
      <w:lvlJc w:val="left"/>
      <w:pPr>
        <w:ind w:hanging="360" w:left="648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standalone="yes" ?><Relationships xmlns="http://schemas.openxmlformats.org/package/2006/relationships"><Relationship Id="rId1" Target="settings.xml" Type="http://schemas.openxmlformats.org/officeDocument/2006/relationships/settings"></Relationship><Relationship Id="rId2" Target="numbering.xml" Type="http://schemas.openxmlformats.org/officeDocument/2006/relationships/numbering"></Relationship><Relationship Id="rId3" Target="fontTable.xml" Type="http://schemas.openxmlformats.org/officeDocument/2006/relationships/fontTable"></Relationship><Relationship Id="rId4" Target="webSettings.xml" Type="http://schemas.openxmlformats.org/officeDocument/2006/relationships/webSettings"></Relationship><Relationship Id="rId5" Target="styles.xml" Type="http://schemas.openxmlformats.org/officeDocument/2006/relationships/styles"></Relationship><Relationship Id="rId6" Target="theme/theme1.xml" Type="http://schemas.openxmlformats.org/officeDocument/2006/relationships/theme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